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Gnosjö kommunfullmäktige</w:t>
      </w:r>
    </w:p>
    <w:p>
      <w:pPr>
        <w:pStyle w:val="Heading1"/>
      </w:pPr>
      <w:r>
        <w:t xml:space="preserve">Fler lärare och tydligare ordningsregler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Gnosjö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Lärartätheten i Gnosjö ligger under genomsnittet för Jönköpings län (Kolada 2024). Oordning i klassrummen påverkar kunskapsresultaten negativt.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Gnosjö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lärartätheten till minst 8,5 lärare per 100 elever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kommunövergripande ordningsregler med konsekvent tillämpning.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fortbildning i klassrumshantering för all personal.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införa mentorskap för nya lärare.</w:t>
      </w:r>
    </w:p>
    <w:p>
      <w:pPr>
        <w:spacing w:before="360"/>
      </w:pPr>
    </w:p>
    <w:p>
      <w:r>
        <w:t xml:space="preserve">Gnosjö,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Gnosjö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2026-07-14T03:04:24.964Z</dcterms:created>
  <dcterms:modified xsi:type="dcterms:W3CDTF">2026-07-14T03:04:24.964Z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